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6243" w:rsidRPr="007E173E" w:rsidRDefault="007E173E" w:rsidP="00C2539B">
      <w:pPr>
        <w:jc w:val="center"/>
        <w:rPr>
          <w:rFonts w:cs="Times New Roman"/>
        </w:rPr>
      </w:pPr>
      <w:r>
        <w:rPr>
          <w:rFonts w:cs="Times New Roman"/>
        </w:rPr>
        <w:t xml:space="preserve">         </w:t>
      </w:r>
      <w:r w:rsidR="00343AFC" w:rsidRPr="007E173E">
        <w:rPr>
          <w:rFonts w:cs="Times New Roman"/>
        </w:rPr>
        <w:t>Part 1</w:t>
      </w:r>
      <w:r w:rsidR="00C2539B" w:rsidRPr="007E173E">
        <w:rPr>
          <w:rFonts w:cs="Times New Roman"/>
        </w:rPr>
        <w:t xml:space="preserve"> &amp; 2</w:t>
      </w:r>
    </w:p>
    <w:p w:rsidR="00787AE4" w:rsidRPr="007E173E" w:rsidRDefault="007E173E" w:rsidP="007E173E">
      <w:pPr>
        <w:jc w:val="center"/>
        <w:rPr>
          <w:rFonts w:cs="Times New Roman"/>
          <w:b/>
        </w:rPr>
      </w:pPr>
      <w:r>
        <w:rPr>
          <w:rFonts w:cs="Times New Roman"/>
          <w:b/>
        </w:rPr>
        <w:t xml:space="preserve">       </w:t>
      </w:r>
      <w:r w:rsidR="00787AE4" w:rsidRPr="007E173E">
        <w:rPr>
          <w:rFonts w:cs="Times New Roman"/>
          <w:b/>
        </w:rPr>
        <w:t>Part 1</w:t>
      </w:r>
    </w:p>
    <w:p w:rsidR="007E173E" w:rsidRPr="007E173E" w:rsidRDefault="00343AFC" w:rsidP="007E173E">
      <w:pPr>
        <w:ind w:firstLine="720"/>
        <w:jc w:val="center"/>
        <w:rPr>
          <w:rFonts w:cs="Times New Roman"/>
          <w:b/>
        </w:rPr>
      </w:pPr>
      <w:r w:rsidRPr="007E173E">
        <w:rPr>
          <w:rFonts w:cs="Times New Roman"/>
          <w:b/>
        </w:rPr>
        <w:t>Question 1</w:t>
      </w:r>
      <w:r w:rsidR="007E173E" w:rsidRPr="007E173E">
        <w:rPr>
          <w:rFonts w:cs="Times New Roman"/>
          <w:b/>
        </w:rPr>
        <w:t>.</w:t>
      </w:r>
    </w:p>
    <w:p w:rsidR="007E173E" w:rsidRPr="007E173E" w:rsidRDefault="007E173E" w:rsidP="007E173E">
      <w:pPr>
        <w:ind w:firstLine="720"/>
        <w:rPr>
          <w:rFonts w:cs="Times New Roman"/>
        </w:rPr>
      </w:pPr>
      <w:r w:rsidRPr="007E173E">
        <w:rPr>
          <w:rFonts w:cs="Times New Roman"/>
        </w:rPr>
        <w:t xml:space="preserve">According to me, the challenges inherent in interviewing offenders do not outweigh the rewards of potential insights or knowledge gleaned from an offender decision making. Taking into consideration that the main challenges are verification of eligibility and unproductively by subjects, sourcing the right subjects who will aid in research will offer insights to help in investigations. </w:t>
      </w:r>
    </w:p>
    <w:p w:rsidR="007E173E" w:rsidRPr="007E173E" w:rsidRDefault="007E173E" w:rsidP="007E173E">
      <w:pPr>
        <w:ind w:firstLine="720"/>
        <w:jc w:val="center"/>
        <w:rPr>
          <w:rFonts w:cs="Times New Roman"/>
          <w:b/>
        </w:rPr>
      </w:pPr>
      <w:r w:rsidRPr="007E173E">
        <w:rPr>
          <w:rFonts w:cs="Times New Roman"/>
          <w:b/>
        </w:rPr>
        <w:t>Question 2</w:t>
      </w:r>
    </w:p>
    <w:p w:rsidR="007E173E" w:rsidRPr="007E173E" w:rsidRDefault="007E173E" w:rsidP="007E173E">
      <w:pPr>
        <w:ind w:firstLine="720"/>
        <w:rPr>
          <w:rFonts w:cs="Times New Roman"/>
        </w:rPr>
      </w:pPr>
      <w:r w:rsidRPr="007E173E">
        <w:rPr>
          <w:rFonts w:cs="Times New Roman"/>
        </w:rPr>
        <w:t>According to me, research with active offenders is worth conducting. First, acknowledging the fact that the criminal justice system does not conduct research in the criminals' habitats implies that it is critical (Wright, 1992). For instance, the robbers are less likely to confuse researchers with criminal justice personnel and thus are highly likely to provide significant insights that can be used in the decision-making process. In addition, it is evident that criminals do not behave naturally when they are interrogated in the corrective centers; therefore fieldwork research becomes imperative.</w:t>
      </w:r>
    </w:p>
    <w:p w:rsidR="007E173E" w:rsidRPr="007E173E" w:rsidRDefault="007E173E" w:rsidP="007E173E">
      <w:pPr>
        <w:ind w:firstLine="720"/>
        <w:jc w:val="center"/>
        <w:rPr>
          <w:rFonts w:cs="Times New Roman"/>
          <w:b/>
        </w:rPr>
      </w:pPr>
      <w:r w:rsidRPr="007E173E">
        <w:rPr>
          <w:rFonts w:cs="Times New Roman"/>
          <w:b/>
        </w:rPr>
        <w:t>Question 3</w:t>
      </w:r>
    </w:p>
    <w:p w:rsidR="007E173E" w:rsidRPr="007E173E" w:rsidRDefault="007E173E" w:rsidP="007E173E">
      <w:pPr>
        <w:ind w:firstLine="720"/>
        <w:rPr>
          <w:rFonts w:cs="Times New Roman"/>
        </w:rPr>
      </w:pPr>
      <w:r w:rsidRPr="007E173E">
        <w:rPr>
          <w:rFonts w:cs="Times New Roman"/>
        </w:rPr>
        <w:t xml:space="preserve">While it is essential for a field worker to establish rapport with offenders to glean enough information, he/she should maintain boundaries. For instance, the fieldworkers should not disclose the real names or any personal information. In addition, a fieldworker should be knowledgeable enough to come up with solutions that can prevent him/her from being involved </w:t>
      </w:r>
      <w:r w:rsidRPr="007E173E">
        <w:rPr>
          <w:rFonts w:cs="Times New Roman"/>
        </w:rPr>
        <w:lastRenderedPageBreak/>
        <w:t>in major crimes. However, a field worker can be involved in minor vandalism acts that do not pose any threat to the community; after all, the primary goal is collecting the information.</w:t>
      </w:r>
    </w:p>
    <w:p w:rsidR="007E173E" w:rsidRPr="007E173E" w:rsidRDefault="007E173E" w:rsidP="007E173E">
      <w:pPr>
        <w:ind w:firstLine="720"/>
        <w:jc w:val="center"/>
        <w:rPr>
          <w:rFonts w:cs="Times New Roman"/>
          <w:b/>
        </w:rPr>
      </w:pPr>
      <w:r w:rsidRPr="007E173E">
        <w:rPr>
          <w:rFonts w:cs="Times New Roman"/>
          <w:b/>
        </w:rPr>
        <w:t>Question 4</w:t>
      </w:r>
    </w:p>
    <w:p w:rsidR="007E173E" w:rsidRPr="007E173E" w:rsidRDefault="007E173E" w:rsidP="007E173E">
      <w:pPr>
        <w:ind w:firstLine="720"/>
        <w:rPr>
          <w:rFonts w:cs="Times New Roman"/>
        </w:rPr>
      </w:pPr>
      <w:r w:rsidRPr="007E173E">
        <w:rPr>
          <w:rFonts w:cs="Times New Roman"/>
        </w:rPr>
        <w:t>According to me, an aspect that will be subject to criticism by other scholars is the proposition that "stealth retaliation is only possible if a wrongdoer physically separates from their wealth" (Jacques, 2010). I completely disagree with the proposition because for stealth retaliation; a wrongdoer can involve another party to steal the wealth of the retaliator. The rationale behind my opinion is that drug dealers mostly work as a group, and thus there is a high possibility that the initial wrongdoer can incorporate another party (unknown associate) to steal from a retaliator.</w:t>
      </w:r>
    </w:p>
    <w:p w:rsidR="007E173E" w:rsidRPr="007E173E" w:rsidRDefault="007E173E" w:rsidP="007E173E">
      <w:pPr>
        <w:ind w:firstLine="720"/>
        <w:jc w:val="center"/>
        <w:rPr>
          <w:rFonts w:cs="Times New Roman"/>
          <w:b/>
        </w:rPr>
      </w:pPr>
      <w:r w:rsidRPr="007E173E">
        <w:rPr>
          <w:rFonts w:cs="Times New Roman"/>
          <w:b/>
        </w:rPr>
        <w:t>Question 5</w:t>
      </w:r>
    </w:p>
    <w:p w:rsidR="007E173E" w:rsidRPr="007E173E" w:rsidRDefault="007E173E" w:rsidP="007E173E">
      <w:pPr>
        <w:ind w:firstLine="720"/>
        <w:rPr>
          <w:rFonts w:cs="Times New Roman"/>
        </w:rPr>
      </w:pPr>
      <w:r w:rsidRPr="007E173E">
        <w:rPr>
          <w:rFonts w:cs="Times New Roman"/>
        </w:rPr>
        <w:t>To a larger extent, stealth retaliation will occur when the wrongdoer is separated from the retaliator. However, there is a possibility that the wrongdoer can involve another party to glean retaliator's wealth and therefore the author should include this possibility in the proposition to reduce the weakness.</w:t>
      </w:r>
    </w:p>
    <w:p w:rsidR="007E173E" w:rsidRPr="007E173E" w:rsidRDefault="007E173E" w:rsidP="007E173E">
      <w:pPr>
        <w:ind w:firstLine="720"/>
        <w:jc w:val="center"/>
        <w:rPr>
          <w:rFonts w:cs="Times New Roman"/>
          <w:b/>
        </w:rPr>
      </w:pPr>
      <w:r w:rsidRPr="007E173E">
        <w:rPr>
          <w:rFonts w:cs="Times New Roman"/>
          <w:b/>
        </w:rPr>
        <w:t>Question 6</w:t>
      </w:r>
    </w:p>
    <w:p w:rsidR="007E173E" w:rsidRPr="007E173E" w:rsidRDefault="007E173E" w:rsidP="007E173E">
      <w:pPr>
        <w:ind w:firstLine="720"/>
        <w:rPr>
          <w:rFonts w:cs="Times New Roman"/>
        </w:rPr>
      </w:pPr>
      <w:r w:rsidRPr="007E173E">
        <w:rPr>
          <w:rFonts w:cs="Times New Roman"/>
        </w:rPr>
        <w:t xml:space="preserve">One aspect that I found interesting in the Bruce A. Jacobs, Carjacking and Co-presence, is a fact he shared in almost every carjacking there is a weapon involved, mostly, a firearm and yet the statistics show that only 1% of all victims of carjacking incur injuries that require medical attention (Jacobs, 2012). The fact is interesting and at the same time worrying because </w:t>
      </w:r>
      <w:r w:rsidRPr="007E173E">
        <w:rPr>
          <w:rFonts w:cs="Times New Roman"/>
        </w:rPr>
        <w:lastRenderedPageBreak/>
        <w:t>apprehending such criminals becomes a great deal. With such low statistics, it means little attention will be focused on that area of crime.</w:t>
      </w:r>
    </w:p>
    <w:p w:rsidR="007E173E" w:rsidRPr="007E173E" w:rsidRDefault="007E173E" w:rsidP="007E173E">
      <w:pPr>
        <w:ind w:firstLine="720"/>
        <w:jc w:val="center"/>
        <w:rPr>
          <w:rFonts w:cs="Times New Roman"/>
          <w:b/>
        </w:rPr>
      </w:pPr>
      <w:r w:rsidRPr="007E173E">
        <w:rPr>
          <w:rFonts w:cs="Times New Roman"/>
          <w:b/>
        </w:rPr>
        <w:t>Question 7</w:t>
      </w:r>
    </w:p>
    <w:p w:rsidR="007E173E" w:rsidRPr="007E173E" w:rsidRDefault="007E173E" w:rsidP="007E173E">
      <w:pPr>
        <w:ind w:firstLine="720"/>
        <w:rPr>
          <w:rFonts w:cs="Times New Roman"/>
        </w:rPr>
      </w:pPr>
      <w:r w:rsidRPr="007E173E">
        <w:rPr>
          <w:rFonts w:cs="Times New Roman"/>
        </w:rPr>
        <w:t>Is it ethical for fieldworkers to be involved in criminal activities to glean insights on criminals?</w:t>
      </w:r>
    </w:p>
    <w:p w:rsidR="007E173E" w:rsidRPr="007E173E" w:rsidRDefault="007E173E" w:rsidP="007E173E">
      <w:pPr>
        <w:ind w:firstLine="720"/>
        <w:rPr>
          <w:rFonts w:cs="Times New Roman"/>
        </w:rPr>
      </w:pPr>
    </w:p>
    <w:p w:rsidR="007E173E" w:rsidRPr="007E173E" w:rsidRDefault="007E173E" w:rsidP="007E173E">
      <w:pPr>
        <w:ind w:firstLine="720"/>
        <w:rPr>
          <w:rFonts w:cs="Times New Roman"/>
        </w:rPr>
      </w:pPr>
    </w:p>
    <w:p w:rsidR="007E173E" w:rsidRPr="007E173E" w:rsidRDefault="007E173E" w:rsidP="007E173E">
      <w:pPr>
        <w:ind w:firstLine="720"/>
        <w:rPr>
          <w:rFonts w:cs="Times New Roman"/>
        </w:rPr>
      </w:pPr>
    </w:p>
    <w:p w:rsidR="007E173E" w:rsidRPr="007E173E" w:rsidRDefault="007E173E" w:rsidP="007E173E">
      <w:pPr>
        <w:ind w:firstLine="720"/>
        <w:rPr>
          <w:rFonts w:cs="Times New Roman"/>
        </w:rPr>
      </w:pPr>
    </w:p>
    <w:p w:rsidR="007E173E" w:rsidRPr="007E173E" w:rsidRDefault="007E173E" w:rsidP="007E173E">
      <w:pPr>
        <w:ind w:firstLine="720"/>
        <w:rPr>
          <w:rFonts w:cs="Times New Roman"/>
        </w:rPr>
      </w:pPr>
    </w:p>
    <w:p w:rsidR="007E173E" w:rsidRPr="007E173E" w:rsidRDefault="007E173E" w:rsidP="007E173E">
      <w:pPr>
        <w:ind w:firstLine="720"/>
        <w:rPr>
          <w:rFonts w:cs="Times New Roman"/>
        </w:rPr>
      </w:pPr>
    </w:p>
    <w:p w:rsidR="007E173E" w:rsidRPr="007E173E" w:rsidRDefault="007E173E" w:rsidP="007E173E">
      <w:pPr>
        <w:ind w:firstLine="720"/>
        <w:rPr>
          <w:rFonts w:cs="Times New Roman"/>
        </w:rPr>
      </w:pPr>
    </w:p>
    <w:p w:rsidR="007E173E" w:rsidRPr="007E173E" w:rsidRDefault="007E173E" w:rsidP="007E173E">
      <w:pPr>
        <w:ind w:firstLine="720"/>
        <w:rPr>
          <w:rFonts w:cs="Times New Roman"/>
        </w:rPr>
      </w:pPr>
    </w:p>
    <w:p w:rsidR="007E173E" w:rsidRPr="007E173E" w:rsidRDefault="007E173E" w:rsidP="007E173E">
      <w:pPr>
        <w:ind w:firstLine="720"/>
        <w:rPr>
          <w:rFonts w:cs="Times New Roman"/>
        </w:rPr>
      </w:pPr>
    </w:p>
    <w:p w:rsidR="007E173E" w:rsidRPr="007E173E" w:rsidRDefault="007E173E" w:rsidP="007E173E">
      <w:pPr>
        <w:ind w:firstLine="720"/>
        <w:rPr>
          <w:rFonts w:cs="Times New Roman"/>
        </w:rPr>
      </w:pPr>
    </w:p>
    <w:p w:rsidR="007E173E" w:rsidRPr="007E173E" w:rsidRDefault="007E173E" w:rsidP="007E173E">
      <w:pPr>
        <w:ind w:firstLine="720"/>
        <w:rPr>
          <w:rFonts w:cs="Times New Roman"/>
        </w:rPr>
      </w:pPr>
    </w:p>
    <w:p w:rsidR="007E173E" w:rsidRDefault="007E173E" w:rsidP="007E173E">
      <w:pPr>
        <w:rPr>
          <w:rFonts w:cs="Times New Roman"/>
        </w:rPr>
      </w:pPr>
    </w:p>
    <w:p w:rsidR="007E173E" w:rsidRPr="007E173E" w:rsidRDefault="007E173E" w:rsidP="007E173E">
      <w:pPr>
        <w:rPr>
          <w:rFonts w:cs="Times New Roman"/>
        </w:rPr>
      </w:pPr>
    </w:p>
    <w:p w:rsidR="007E173E" w:rsidRDefault="007E173E" w:rsidP="007E173E">
      <w:pPr>
        <w:ind w:firstLine="720"/>
        <w:jc w:val="center"/>
        <w:rPr>
          <w:rFonts w:cs="Times New Roman"/>
        </w:rPr>
      </w:pPr>
      <w:r w:rsidRPr="007E173E">
        <w:rPr>
          <w:rFonts w:cs="Times New Roman"/>
        </w:rPr>
        <w:lastRenderedPageBreak/>
        <w:t>References</w:t>
      </w:r>
    </w:p>
    <w:p w:rsidR="007E173E" w:rsidRDefault="007E173E" w:rsidP="007E173E">
      <w:pPr>
        <w:pStyle w:val="Bibliography"/>
        <w:ind w:left="720" w:hanging="720"/>
        <w:rPr>
          <w:noProof/>
        </w:rPr>
      </w:pPr>
      <w:r>
        <w:rPr>
          <w:noProof/>
        </w:rPr>
        <w:t xml:space="preserve">Jacobs, B. A. (2012). Carjacking and Copresence. </w:t>
      </w:r>
      <w:r>
        <w:rPr>
          <w:i/>
          <w:iCs/>
          <w:noProof/>
        </w:rPr>
        <w:t>Journal of research in crime and Deliquency</w:t>
      </w:r>
      <w:r>
        <w:rPr>
          <w:noProof/>
        </w:rPr>
        <w:t>, 472-486.</w:t>
      </w:r>
    </w:p>
    <w:p w:rsidR="007E173E" w:rsidRDefault="007E173E" w:rsidP="007E173E">
      <w:pPr>
        <w:pStyle w:val="Bibliography"/>
        <w:ind w:left="720" w:hanging="720"/>
        <w:rPr>
          <w:noProof/>
        </w:rPr>
      </w:pPr>
      <w:r>
        <w:rPr>
          <w:noProof/>
        </w:rPr>
        <w:t xml:space="preserve">Jacques, S. (2010). The Necessary Conditions For Retaliation: Toward a Theory of Non-Violent and Violet forms In Drug Markets. </w:t>
      </w:r>
      <w:r>
        <w:rPr>
          <w:i/>
          <w:iCs/>
          <w:noProof/>
        </w:rPr>
        <w:t>Justice Quarterly</w:t>
      </w:r>
      <w:r>
        <w:rPr>
          <w:noProof/>
        </w:rPr>
        <w:t>, 186-203.</w:t>
      </w:r>
    </w:p>
    <w:p w:rsidR="007E173E" w:rsidRPr="007E173E" w:rsidRDefault="007E173E" w:rsidP="007E173E">
      <w:pPr>
        <w:pStyle w:val="Bibliography"/>
        <w:ind w:left="720" w:hanging="720"/>
        <w:rPr>
          <w:noProof/>
        </w:rPr>
      </w:pPr>
      <w:r>
        <w:rPr>
          <w:noProof/>
        </w:rPr>
        <w:t xml:space="preserve">Wright, R. S. (1992). A SnowBall's Chance in Hell: Doing Fieldwork With Active Residential Workers. </w:t>
      </w:r>
      <w:r>
        <w:rPr>
          <w:i/>
          <w:iCs/>
          <w:noProof/>
        </w:rPr>
        <w:t>Journal of Research in Crime and Delinquency</w:t>
      </w:r>
      <w:r>
        <w:rPr>
          <w:noProof/>
        </w:rPr>
        <w:t>, 148-160.</w:t>
      </w:r>
    </w:p>
    <w:p w:rsidR="007E173E" w:rsidRPr="007E173E" w:rsidRDefault="007E173E" w:rsidP="007E173E">
      <w:pPr>
        <w:ind w:firstLine="720"/>
        <w:rPr>
          <w:rFonts w:cs="Times New Roman"/>
        </w:rPr>
      </w:pPr>
    </w:p>
    <w:p w:rsidR="007E173E" w:rsidRPr="007E173E" w:rsidRDefault="007E173E" w:rsidP="007E173E">
      <w:pPr>
        <w:ind w:firstLine="720"/>
        <w:rPr>
          <w:rFonts w:cs="Times New Roman"/>
        </w:rPr>
      </w:pPr>
    </w:p>
    <w:p w:rsidR="007E173E" w:rsidRPr="007E173E" w:rsidRDefault="007E173E" w:rsidP="007E173E">
      <w:pPr>
        <w:ind w:firstLine="720"/>
        <w:rPr>
          <w:rFonts w:cs="Times New Roman"/>
        </w:rPr>
      </w:pPr>
    </w:p>
    <w:p w:rsidR="007E173E" w:rsidRPr="007E173E" w:rsidRDefault="007E173E" w:rsidP="007E173E">
      <w:pPr>
        <w:ind w:firstLine="720"/>
        <w:rPr>
          <w:rFonts w:cs="Times New Roman"/>
        </w:rPr>
      </w:pPr>
    </w:p>
    <w:p w:rsidR="007E173E" w:rsidRPr="007E173E" w:rsidRDefault="007E173E" w:rsidP="007E173E">
      <w:pPr>
        <w:ind w:firstLine="720"/>
        <w:rPr>
          <w:rFonts w:cs="Times New Roman"/>
        </w:rPr>
      </w:pPr>
    </w:p>
    <w:p w:rsidR="007E173E" w:rsidRPr="007E173E" w:rsidRDefault="007E173E" w:rsidP="007E173E">
      <w:pPr>
        <w:ind w:firstLine="720"/>
        <w:rPr>
          <w:rFonts w:cs="Times New Roman"/>
        </w:rPr>
      </w:pPr>
    </w:p>
    <w:p w:rsidR="007E173E" w:rsidRPr="007E173E" w:rsidRDefault="007E173E" w:rsidP="007E173E">
      <w:pPr>
        <w:ind w:firstLine="720"/>
        <w:rPr>
          <w:rFonts w:cs="Times New Roman"/>
        </w:rPr>
      </w:pPr>
    </w:p>
    <w:p w:rsidR="007E173E" w:rsidRPr="007E173E" w:rsidRDefault="007E173E" w:rsidP="007E173E">
      <w:pPr>
        <w:ind w:firstLine="720"/>
        <w:rPr>
          <w:rFonts w:cs="Times New Roman"/>
        </w:rPr>
      </w:pPr>
    </w:p>
    <w:p w:rsidR="007E173E" w:rsidRPr="007E173E" w:rsidRDefault="007E173E" w:rsidP="007E173E">
      <w:pPr>
        <w:ind w:firstLine="720"/>
        <w:rPr>
          <w:rFonts w:cs="Times New Roman"/>
        </w:rPr>
      </w:pPr>
    </w:p>
    <w:p w:rsidR="007E173E" w:rsidRDefault="007E173E" w:rsidP="007E173E">
      <w:pPr>
        <w:rPr>
          <w:rFonts w:cs="Times New Roman"/>
        </w:rPr>
      </w:pPr>
    </w:p>
    <w:p w:rsidR="007E173E" w:rsidRDefault="007E173E" w:rsidP="007E173E">
      <w:pPr>
        <w:rPr>
          <w:rFonts w:cs="Times New Roman"/>
          <w:b/>
        </w:rPr>
      </w:pPr>
    </w:p>
    <w:p w:rsidR="007E173E" w:rsidRPr="007E173E" w:rsidRDefault="007E173E" w:rsidP="007E173E">
      <w:pPr>
        <w:ind w:firstLine="720"/>
        <w:jc w:val="center"/>
        <w:rPr>
          <w:rFonts w:cs="Times New Roman"/>
          <w:b/>
        </w:rPr>
      </w:pPr>
      <w:r w:rsidRPr="007E173E">
        <w:rPr>
          <w:rFonts w:cs="Times New Roman"/>
          <w:b/>
        </w:rPr>
        <w:lastRenderedPageBreak/>
        <w:t>Part 2</w:t>
      </w:r>
    </w:p>
    <w:p w:rsidR="007E173E" w:rsidRPr="007E173E" w:rsidRDefault="007E173E" w:rsidP="007E173E">
      <w:pPr>
        <w:ind w:firstLine="720"/>
        <w:jc w:val="center"/>
        <w:rPr>
          <w:rFonts w:cs="Times New Roman"/>
        </w:rPr>
      </w:pPr>
      <w:r w:rsidRPr="007E173E">
        <w:rPr>
          <w:rFonts w:cs="Times New Roman"/>
          <w:b/>
        </w:rPr>
        <w:t>Question 1</w:t>
      </w:r>
    </w:p>
    <w:p w:rsidR="007E173E" w:rsidRPr="007E173E" w:rsidRDefault="007E173E" w:rsidP="007E173E">
      <w:pPr>
        <w:ind w:firstLine="720"/>
        <w:rPr>
          <w:rFonts w:cs="Times New Roman"/>
        </w:rPr>
      </w:pPr>
      <w:r w:rsidRPr="007E173E">
        <w:rPr>
          <w:rFonts w:cs="Times New Roman"/>
        </w:rPr>
        <w:t>In my view, researchers should be permitted to conduct applied criminal justice research to develop profiles of employees who are prone to engagement in boundary violations. Research has proven that proximity between prisoners and prison workers such as guards and custodians encourages personal intimacy between them (Marquat, 2006). Sexual involvement compromises values and ethics affects prisoners' rehabilitation and affects correctional work. Therefore, research should be conducted to develop the profiles of such employees.</w:t>
      </w:r>
    </w:p>
    <w:p w:rsidR="007E173E" w:rsidRPr="007E173E" w:rsidRDefault="007E173E" w:rsidP="007E173E">
      <w:pPr>
        <w:ind w:firstLine="720"/>
        <w:jc w:val="center"/>
        <w:rPr>
          <w:rFonts w:cs="Times New Roman"/>
          <w:b/>
        </w:rPr>
      </w:pPr>
      <w:r w:rsidRPr="007E173E">
        <w:rPr>
          <w:rFonts w:cs="Times New Roman"/>
          <w:b/>
        </w:rPr>
        <w:t>Question 2</w:t>
      </w:r>
    </w:p>
    <w:p w:rsidR="007E173E" w:rsidRPr="007E173E" w:rsidRDefault="007E173E" w:rsidP="007E173E">
      <w:pPr>
        <w:ind w:firstLine="720"/>
        <w:rPr>
          <w:rFonts w:cs="Times New Roman"/>
        </w:rPr>
      </w:pPr>
      <w:r w:rsidRPr="007E173E">
        <w:rPr>
          <w:rFonts w:cs="Times New Roman"/>
        </w:rPr>
        <w:t>First, by admitting that boundary violations is a corruption of authority and is detrimental to the rehabilitation of prisoners, the findings from research should be used to indict the correctional staff involved in sexual engagements. Moreover, about 42 states have prohibited sexual contact between prisoners and staff (Marquat, 2006). It is regarded as the most serious breach of professional contract.  Therefore, the prison administrator can forward the culprit to the relevant authorities to take legal action.</w:t>
      </w:r>
    </w:p>
    <w:p w:rsidR="007E173E" w:rsidRPr="007E173E" w:rsidRDefault="007E173E" w:rsidP="007E173E">
      <w:pPr>
        <w:ind w:firstLine="720"/>
        <w:jc w:val="center"/>
        <w:rPr>
          <w:rFonts w:cs="Times New Roman"/>
          <w:b/>
        </w:rPr>
      </w:pPr>
      <w:r w:rsidRPr="007E173E">
        <w:rPr>
          <w:rFonts w:cs="Times New Roman"/>
          <w:b/>
        </w:rPr>
        <w:t>Question 3</w:t>
      </w:r>
    </w:p>
    <w:p w:rsidR="007E173E" w:rsidRPr="007E173E" w:rsidRDefault="007E173E" w:rsidP="007E173E">
      <w:pPr>
        <w:ind w:firstLine="720"/>
        <w:rPr>
          <w:rFonts w:cs="Times New Roman"/>
        </w:rPr>
      </w:pPr>
      <w:r w:rsidRPr="007E173E">
        <w:rPr>
          <w:rFonts w:cs="Times New Roman"/>
        </w:rPr>
        <w:t xml:space="preserve">Prison employees engage in sexual contact with prisoners for different reasons. First, some are in an intimate relationship, and there is a promise of future engagement (after the prisoner is discharged) (Marquat, 2006). Second, some workers viewed the prisoners as girlfriend/boyfriend, pen pal lover or a soul mate. </w:t>
      </w:r>
    </w:p>
    <w:p w:rsidR="007E173E" w:rsidRPr="007E173E" w:rsidRDefault="007E173E" w:rsidP="007E173E">
      <w:pPr>
        <w:ind w:firstLine="720"/>
        <w:jc w:val="center"/>
        <w:rPr>
          <w:rFonts w:cs="Times New Roman"/>
          <w:b/>
        </w:rPr>
      </w:pPr>
      <w:r w:rsidRPr="007E173E">
        <w:rPr>
          <w:rFonts w:cs="Times New Roman"/>
          <w:b/>
        </w:rPr>
        <w:t>Question 4</w:t>
      </w:r>
    </w:p>
    <w:p w:rsidR="007E173E" w:rsidRPr="007E173E" w:rsidRDefault="007E173E" w:rsidP="007E173E">
      <w:pPr>
        <w:ind w:firstLine="720"/>
        <w:rPr>
          <w:rFonts w:cs="Times New Roman"/>
        </w:rPr>
      </w:pPr>
      <w:r w:rsidRPr="007E173E">
        <w:rPr>
          <w:rFonts w:cs="Times New Roman"/>
        </w:rPr>
        <w:lastRenderedPageBreak/>
        <w:t xml:space="preserve">In my view, in most cases, prisoners initiate inappropriate relationships to win favors from the staff. In the United States, very few states allow conjugal visits or family-extended visits. Arguably, prisoners are humans who also have emotions and other personal needs that they cannot access. For instance, female prisoners can initiate a relationship to satisfy their urge for sexual or for alcohol or cigarettes (Worley, 2016). </w:t>
      </w:r>
    </w:p>
    <w:p w:rsidR="007E173E" w:rsidRPr="007E173E" w:rsidRDefault="007E173E" w:rsidP="007E173E">
      <w:pPr>
        <w:ind w:firstLine="720"/>
        <w:jc w:val="center"/>
        <w:rPr>
          <w:rFonts w:cs="Times New Roman"/>
          <w:b/>
        </w:rPr>
      </w:pPr>
      <w:r w:rsidRPr="007E173E">
        <w:rPr>
          <w:rFonts w:cs="Times New Roman"/>
          <w:b/>
        </w:rPr>
        <w:t>Question 5</w:t>
      </w:r>
    </w:p>
    <w:p w:rsidR="007E173E" w:rsidRPr="007E173E" w:rsidRDefault="007E173E" w:rsidP="007E173E">
      <w:pPr>
        <w:ind w:firstLine="720"/>
        <w:rPr>
          <w:rFonts w:cs="Times New Roman"/>
        </w:rPr>
      </w:pPr>
      <w:r w:rsidRPr="007E173E">
        <w:rPr>
          <w:rFonts w:cs="Times New Roman"/>
        </w:rPr>
        <w:t xml:space="preserve">In a situation where inmates continuously expose themselves inappropriately to a female correctional officer who then reports the matter to her supervisor, in my opinion, she should be allowed to sue the correctional agency she is employed with. Considering that there are boundary violations and the officer has reported a possibility of breach of the boundary, and the correctional agency does not do anything about it, then she should take legal action. </w:t>
      </w:r>
    </w:p>
    <w:p w:rsidR="007E173E" w:rsidRPr="007E173E" w:rsidRDefault="007E173E" w:rsidP="007E173E">
      <w:pPr>
        <w:ind w:firstLine="720"/>
        <w:jc w:val="center"/>
        <w:rPr>
          <w:rFonts w:cs="Times New Roman"/>
          <w:b/>
        </w:rPr>
      </w:pPr>
      <w:r w:rsidRPr="007E173E">
        <w:rPr>
          <w:rFonts w:cs="Times New Roman"/>
          <w:b/>
        </w:rPr>
        <w:t>Question 6</w:t>
      </w:r>
    </w:p>
    <w:p w:rsidR="007E173E" w:rsidRPr="007E173E" w:rsidRDefault="007E173E" w:rsidP="007E173E">
      <w:pPr>
        <w:ind w:firstLine="720"/>
        <w:rPr>
          <w:rFonts w:cs="Times New Roman"/>
        </w:rPr>
      </w:pPr>
      <w:r w:rsidRPr="007E173E">
        <w:rPr>
          <w:rFonts w:cs="Times New Roman"/>
        </w:rPr>
        <w:t>In my understanding, denial of responsibility neutralization technique best explains why inmates engage in public autoerotism. In this strategy, when an inmate is caught in any act of autoerotism like masturbation, he responds by asserting that the unconventional behavior was compelled by forces beyond his control (Worley, 2013).</w:t>
      </w:r>
    </w:p>
    <w:p w:rsidR="007E173E" w:rsidRPr="007E173E" w:rsidRDefault="007E173E" w:rsidP="007E173E">
      <w:pPr>
        <w:ind w:firstLine="720"/>
        <w:jc w:val="center"/>
        <w:rPr>
          <w:rFonts w:cs="Times New Roman"/>
          <w:b/>
        </w:rPr>
      </w:pPr>
      <w:r w:rsidRPr="007E173E">
        <w:rPr>
          <w:rFonts w:cs="Times New Roman"/>
          <w:b/>
        </w:rPr>
        <w:t>Question 7</w:t>
      </w:r>
    </w:p>
    <w:p w:rsidR="007E173E" w:rsidRPr="007E173E" w:rsidRDefault="007E173E" w:rsidP="007E173E">
      <w:pPr>
        <w:ind w:firstLine="720"/>
        <w:rPr>
          <w:rFonts w:cs="Times New Roman"/>
        </w:rPr>
      </w:pPr>
      <w:r w:rsidRPr="007E173E">
        <w:rPr>
          <w:rFonts w:cs="Times New Roman"/>
        </w:rPr>
        <w:t xml:space="preserve">An aspect I found interest in Worley's auto-ethnography is how the inmates tried to build rapport with him. The inmates used clever tactics of compelling him to violate institutional rules like accepting fitness and Playboy magazines which were prohibited in the institution. In most </w:t>
      </w:r>
      <w:r w:rsidRPr="007E173E">
        <w:rPr>
          <w:rFonts w:cs="Times New Roman"/>
        </w:rPr>
        <w:lastRenderedPageBreak/>
        <w:t>cases, if a correctional worker like Worley violated agency rules, then there was a high likelihood to allow prisoners to breach the regulations as well (Worley, 2016).</w:t>
      </w:r>
    </w:p>
    <w:p w:rsidR="007E173E" w:rsidRPr="007E173E" w:rsidRDefault="007E173E" w:rsidP="007E173E">
      <w:pPr>
        <w:ind w:firstLine="720"/>
        <w:jc w:val="center"/>
        <w:rPr>
          <w:rFonts w:cs="Times New Roman"/>
          <w:b/>
        </w:rPr>
      </w:pPr>
      <w:r w:rsidRPr="007E173E">
        <w:rPr>
          <w:rFonts w:cs="Times New Roman"/>
          <w:b/>
        </w:rPr>
        <w:t>Question 8</w:t>
      </w:r>
    </w:p>
    <w:p w:rsidR="007E173E" w:rsidRPr="007E173E" w:rsidRDefault="007E173E" w:rsidP="007E173E">
      <w:pPr>
        <w:ind w:firstLine="720"/>
        <w:rPr>
          <w:rFonts w:cs="Times New Roman"/>
        </w:rPr>
      </w:pPr>
      <w:r w:rsidRPr="007E173E">
        <w:rPr>
          <w:rFonts w:cs="Times New Roman"/>
        </w:rPr>
        <w:t xml:space="preserve">In my perspective, an auto-ethnographic method is sufficiently rigorous and meets the robust standards in the scientific community. My opinion is based on the logic that a professional researcher enters the prison as an employee and gleans the insight privy to prison culture. </w:t>
      </w:r>
    </w:p>
    <w:p w:rsidR="007E173E" w:rsidRPr="007E173E" w:rsidRDefault="007E173E" w:rsidP="007E173E">
      <w:pPr>
        <w:ind w:firstLine="720"/>
        <w:jc w:val="center"/>
        <w:rPr>
          <w:rFonts w:cs="Times New Roman"/>
          <w:b/>
        </w:rPr>
      </w:pPr>
      <w:r w:rsidRPr="007E173E">
        <w:rPr>
          <w:rFonts w:cs="Times New Roman"/>
          <w:b/>
        </w:rPr>
        <w:t>Question 9</w:t>
      </w:r>
    </w:p>
    <w:p w:rsidR="007E173E" w:rsidRPr="007E173E" w:rsidRDefault="007E173E" w:rsidP="007E173E">
      <w:pPr>
        <w:ind w:firstLine="720"/>
        <w:rPr>
          <w:rFonts w:cs="Times New Roman"/>
        </w:rPr>
      </w:pPr>
      <w:r w:rsidRPr="007E173E">
        <w:rPr>
          <w:rFonts w:cs="Times New Roman"/>
        </w:rPr>
        <w:t>To what extent should the prisoner-worker boundary be maintained? Also, are all type of friend relationship between correctional workers and prisoners detrimental to prisoner's rehabilitation?</w:t>
      </w:r>
    </w:p>
    <w:p w:rsidR="007E173E" w:rsidRPr="007E173E" w:rsidRDefault="007E173E" w:rsidP="007E173E">
      <w:pPr>
        <w:ind w:firstLine="720"/>
        <w:rPr>
          <w:rFonts w:cs="Times New Roman"/>
        </w:rPr>
      </w:pPr>
    </w:p>
    <w:p w:rsidR="007E173E" w:rsidRPr="007E173E" w:rsidRDefault="007E173E" w:rsidP="007E173E">
      <w:pPr>
        <w:ind w:firstLine="720"/>
        <w:rPr>
          <w:rFonts w:cs="Times New Roman"/>
        </w:rPr>
      </w:pPr>
    </w:p>
    <w:p w:rsidR="007E173E" w:rsidRPr="007E173E" w:rsidRDefault="007E173E" w:rsidP="007E173E">
      <w:pPr>
        <w:ind w:firstLine="720"/>
        <w:rPr>
          <w:rFonts w:cs="Times New Roman"/>
        </w:rPr>
      </w:pPr>
    </w:p>
    <w:p w:rsidR="007E173E" w:rsidRPr="007E173E" w:rsidRDefault="007E173E" w:rsidP="007E173E">
      <w:pPr>
        <w:ind w:firstLine="720"/>
        <w:rPr>
          <w:rFonts w:cs="Times New Roman"/>
        </w:rPr>
      </w:pPr>
    </w:p>
    <w:p w:rsidR="007E173E" w:rsidRPr="007E173E" w:rsidRDefault="007E173E" w:rsidP="007E173E">
      <w:pPr>
        <w:ind w:firstLine="720"/>
        <w:rPr>
          <w:rFonts w:cs="Times New Roman"/>
        </w:rPr>
      </w:pPr>
    </w:p>
    <w:p w:rsidR="007E173E" w:rsidRPr="007E173E" w:rsidRDefault="007E173E" w:rsidP="007E173E">
      <w:pPr>
        <w:ind w:firstLine="720"/>
        <w:rPr>
          <w:rFonts w:cs="Times New Roman"/>
        </w:rPr>
      </w:pPr>
    </w:p>
    <w:p w:rsidR="007E173E" w:rsidRPr="007E173E" w:rsidRDefault="007E173E" w:rsidP="007E173E">
      <w:pPr>
        <w:ind w:firstLine="720"/>
        <w:rPr>
          <w:rFonts w:cs="Times New Roman"/>
        </w:rPr>
      </w:pPr>
    </w:p>
    <w:p w:rsidR="007E173E" w:rsidRPr="007E173E" w:rsidRDefault="007E173E" w:rsidP="007E173E">
      <w:pPr>
        <w:ind w:firstLine="720"/>
        <w:rPr>
          <w:rFonts w:cs="Times New Roman"/>
        </w:rPr>
      </w:pPr>
    </w:p>
    <w:p w:rsidR="007E173E" w:rsidRPr="007E173E" w:rsidRDefault="007E173E" w:rsidP="007E173E">
      <w:pPr>
        <w:rPr>
          <w:rFonts w:cs="Times New Roman"/>
        </w:rPr>
      </w:pPr>
    </w:p>
    <w:p w:rsidR="00343AFC" w:rsidRDefault="007E173E" w:rsidP="007E173E">
      <w:pPr>
        <w:ind w:firstLine="720"/>
        <w:jc w:val="center"/>
        <w:rPr>
          <w:rFonts w:cs="Times New Roman"/>
        </w:rPr>
      </w:pPr>
      <w:r w:rsidRPr="007E173E">
        <w:rPr>
          <w:rFonts w:cs="Times New Roman"/>
        </w:rPr>
        <w:lastRenderedPageBreak/>
        <w:t>References</w:t>
      </w:r>
    </w:p>
    <w:p w:rsidR="007E173E" w:rsidRDefault="007E173E" w:rsidP="007E173E">
      <w:pPr>
        <w:pStyle w:val="Bibliography"/>
        <w:ind w:left="720" w:hanging="720"/>
        <w:rPr>
          <w:noProof/>
        </w:rPr>
      </w:pPr>
      <w:r>
        <w:rPr>
          <w:noProof/>
        </w:rPr>
        <w:t xml:space="preserve">Marquat, W. B.-B. (2006). Fatal attraction: Analysis of employee boundary violations in a southern prison system, 1995-1998. </w:t>
      </w:r>
      <w:r>
        <w:rPr>
          <w:i/>
          <w:iCs/>
          <w:noProof/>
        </w:rPr>
        <w:t>Justice Quarterly</w:t>
      </w:r>
      <w:r>
        <w:rPr>
          <w:noProof/>
        </w:rPr>
        <w:t>, 877-910.</w:t>
      </w:r>
    </w:p>
    <w:p w:rsidR="007E173E" w:rsidRDefault="007E173E" w:rsidP="007E173E">
      <w:pPr>
        <w:pStyle w:val="Bibliography"/>
        <w:ind w:left="720" w:hanging="720"/>
        <w:rPr>
          <w:noProof/>
        </w:rPr>
      </w:pPr>
      <w:r>
        <w:rPr>
          <w:noProof/>
        </w:rPr>
        <w:t>Worley, R. M. (2013). Inmate Public autoerotismuncovered: Exploring the Dynamics of Musturbatory Behavior Within Correctional Facilities. 855-868.</w:t>
      </w:r>
    </w:p>
    <w:p w:rsidR="007E173E" w:rsidRDefault="007E173E" w:rsidP="007E173E">
      <w:pPr>
        <w:pStyle w:val="Bibliography"/>
        <w:ind w:left="720" w:hanging="720"/>
        <w:rPr>
          <w:noProof/>
        </w:rPr>
      </w:pPr>
      <w:r>
        <w:rPr>
          <w:noProof/>
        </w:rPr>
        <w:t xml:space="preserve">Worley, R. M. (2016). Memoirs of a guard Researcher: Deconstructing the Games Inmates Play Behind the Prison Walls. </w:t>
      </w:r>
      <w:r>
        <w:rPr>
          <w:i/>
          <w:iCs/>
          <w:noProof/>
        </w:rPr>
        <w:t>Deviant Behavior</w:t>
      </w:r>
      <w:r>
        <w:rPr>
          <w:noProof/>
        </w:rPr>
        <w:t>, 1215-1226.</w:t>
      </w:r>
    </w:p>
    <w:p w:rsidR="007E173E" w:rsidRPr="007E173E" w:rsidRDefault="007E173E" w:rsidP="007E173E">
      <w:pPr>
        <w:ind w:firstLine="720"/>
        <w:jc w:val="center"/>
        <w:rPr>
          <w:rFonts w:cs="Times New Roman"/>
        </w:rPr>
      </w:pPr>
    </w:p>
    <w:sectPr w:rsidR="007E173E" w:rsidRPr="007E173E" w:rsidSect="00CA2213">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968F8" w:rsidRDefault="006968F8" w:rsidP="000B6052">
      <w:pPr>
        <w:spacing w:after="0" w:line="240" w:lineRule="auto"/>
      </w:pPr>
      <w:r>
        <w:separator/>
      </w:r>
    </w:p>
  </w:endnote>
  <w:endnote w:type="continuationSeparator" w:id="1">
    <w:p w:rsidR="006968F8" w:rsidRDefault="006968F8" w:rsidP="000B605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968F8" w:rsidRDefault="006968F8" w:rsidP="000B6052">
      <w:pPr>
        <w:spacing w:after="0" w:line="240" w:lineRule="auto"/>
      </w:pPr>
      <w:r>
        <w:separator/>
      </w:r>
    </w:p>
  </w:footnote>
  <w:footnote w:type="continuationSeparator" w:id="1">
    <w:p w:rsidR="006968F8" w:rsidRDefault="006968F8" w:rsidP="000B605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052" w:rsidRDefault="000B6052" w:rsidP="00C2539B">
    <w:pPr>
      <w:pStyle w:val="Header"/>
    </w:pPr>
  </w:p>
  <w:p w:rsidR="000B6052" w:rsidRDefault="000B605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052" w:rsidRDefault="000B6052">
    <w:pPr>
      <w:pStyle w:val="Header"/>
      <w:jc w:val="right"/>
    </w:pPr>
    <w:r>
      <w:t xml:space="preserve">                                                                                                                 </w:t>
    </w:r>
    <w:sdt>
      <w:sdtPr>
        <w:id w:val="27577172"/>
        <w:docPartObj>
          <w:docPartGallery w:val="Page Numbers (Top of Page)"/>
          <w:docPartUnique/>
        </w:docPartObj>
      </w:sdtPr>
      <w:sdtContent>
        <w:fldSimple w:instr=" PAGE   \* MERGEFORMAT ">
          <w:r w:rsidR="00CA2213">
            <w:rPr>
              <w:noProof/>
            </w:rPr>
            <w:t>1</w:t>
          </w:r>
        </w:fldSimple>
      </w:sdtContent>
    </w:sdt>
  </w:p>
  <w:p w:rsidR="000B6052" w:rsidRDefault="000B605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343AFC"/>
    <w:rsid w:val="000B6052"/>
    <w:rsid w:val="001035A8"/>
    <w:rsid w:val="00180531"/>
    <w:rsid w:val="001A67D2"/>
    <w:rsid w:val="001F1943"/>
    <w:rsid w:val="00266243"/>
    <w:rsid w:val="002F7C44"/>
    <w:rsid w:val="003256FD"/>
    <w:rsid w:val="00343AFC"/>
    <w:rsid w:val="00371194"/>
    <w:rsid w:val="003E75D1"/>
    <w:rsid w:val="003F1B54"/>
    <w:rsid w:val="00454D0B"/>
    <w:rsid w:val="00512913"/>
    <w:rsid w:val="006968F8"/>
    <w:rsid w:val="00710B1A"/>
    <w:rsid w:val="00787AE4"/>
    <w:rsid w:val="007954AD"/>
    <w:rsid w:val="007B7878"/>
    <w:rsid w:val="007E173E"/>
    <w:rsid w:val="00850853"/>
    <w:rsid w:val="00994E35"/>
    <w:rsid w:val="00A61892"/>
    <w:rsid w:val="00BB043A"/>
    <w:rsid w:val="00C2539B"/>
    <w:rsid w:val="00CA2213"/>
    <w:rsid w:val="00D2474F"/>
    <w:rsid w:val="00D651C4"/>
    <w:rsid w:val="00E75AE4"/>
    <w:rsid w:val="00E9335E"/>
    <w:rsid w:val="00FC0A0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2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0B6052"/>
  </w:style>
  <w:style w:type="paragraph" w:styleId="Header">
    <w:name w:val="header"/>
    <w:basedOn w:val="Normal"/>
    <w:link w:val="HeaderChar"/>
    <w:uiPriority w:val="99"/>
    <w:unhideWhenUsed/>
    <w:rsid w:val="000B60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6052"/>
  </w:style>
  <w:style w:type="paragraph" w:styleId="Footer">
    <w:name w:val="footer"/>
    <w:basedOn w:val="Normal"/>
    <w:link w:val="FooterChar"/>
    <w:uiPriority w:val="99"/>
    <w:semiHidden/>
    <w:unhideWhenUsed/>
    <w:rsid w:val="000B605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B6052"/>
  </w:style>
  <w:style w:type="paragraph" w:styleId="BalloonText">
    <w:name w:val="Balloon Text"/>
    <w:basedOn w:val="Normal"/>
    <w:link w:val="BalloonTextChar"/>
    <w:uiPriority w:val="99"/>
    <w:semiHidden/>
    <w:unhideWhenUsed/>
    <w:rsid w:val="000B60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605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Jac10</b:Tag>
    <b:SourceType>JournalArticle</b:SourceType>
    <b:Guid>{3E54F31E-9212-4462-BAA9-0741B4F00E51}</b:Guid>
    <b:LCID>0</b:LCID>
    <b:Author>
      <b:Author>
        <b:NameList>
          <b:Person>
            <b:Last>Jacques</b:Last>
            <b:First>S.</b:First>
          </b:Person>
        </b:NameList>
      </b:Author>
    </b:Author>
    <b:Title>The Necessary Conditions For Retaliation: Toward a Theory of Non-Violent and Violet forms In Drug Markets</b:Title>
    <b:JournalName>Justice Quarterly</b:JournalName>
    <b:Year>2010</b:Year>
    <b:Pages>186-203</b:Pages>
    <b:RefOrder>2</b:RefOrder>
  </b:Source>
  <b:Source>
    <b:Tag>Jac15</b:Tag>
    <b:SourceType>JournalArticle</b:SourceType>
    <b:Guid>{9BA9B904-06A6-4201-937F-8479249EC347}</b:Guid>
    <b:LCID>0</b:LCID>
    <b:Author>
      <b:Author>
        <b:NameList>
          <b:Person>
            <b:Last>Jacobs</b:Last>
            <b:First>Bruce</b:First>
            <b:Middle>A.</b:Middle>
          </b:Person>
        </b:NameList>
      </b:Author>
    </b:Author>
    <b:Title>Carjacking and Copresence</b:Title>
    <b:JournalName>Journal of research in crime and Deliquency</b:JournalName>
    <b:Year>2012</b:Year>
    <b:Pages>472-486</b:Pages>
    <b:RefOrder>3</b:RefOrder>
  </b:Source>
  <b:Source>
    <b:Tag>Wri10</b:Tag>
    <b:SourceType>JournalArticle</b:SourceType>
    <b:Guid>{718EB4C8-E18E-44E2-9B5D-CD90CEE73255}</b:Guid>
    <b:LCID>0</b:LCID>
    <b:Author>
      <b:Author>
        <b:NameList>
          <b:Person>
            <b:Last>Wright</b:Last>
            <b:First>R.,</b:First>
            <b:Middle>Scott, H., &amp; Allison, K.</b:Middle>
          </b:Person>
        </b:NameList>
      </b:Author>
    </b:Author>
    <b:Title>A SnowBall's Chance in Hell: Doing Fieldwork With Active Residential Workers</b:Title>
    <b:JournalName>Journal of Research in Crime and Delinquency</b:JournalName>
    <b:Year>1992</b:Year>
    <b:Pages>148-160</b:Pages>
    <b:RefOrder>1</b:RefOrder>
  </b:Source>
  <b:Source>
    <b:Tag>Mar06</b:Tag>
    <b:SourceType>JournalArticle</b:SourceType>
    <b:Guid>{5BFC4A3A-DCCE-4EA0-82E5-9155672F63EB}</b:Guid>
    <b:LCID>0</b:LCID>
    <b:Author>
      <b:Author>
        <b:NameList>
          <b:Person>
            <b:Last>Marquat</b:Last>
            <b:First>W.,</b:First>
            <b:Middle>Barnhill, B, &amp; Balshaw-Biddle, K.</b:Middle>
          </b:Person>
        </b:NameList>
      </b:Author>
    </b:Author>
    <b:Title>Fatal attraction: Analysis of employee boundary violations in a southern prison system, 1995-1998</b:Title>
    <b:JournalName>Justice Quarterly</b:JournalName>
    <b:Year>2006</b:Year>
    <b:Pages>877-910</b:Pages>
    <b:RefOrder>4</b:RefOrder>
  </b:Source>
  <b:Source>
    <b:Tag>Wor16</b:Tag>
    <b:SourceType>JournalArticle</b:SourceType>
    <b:Guid>{22D2BCD2-46EE-4825-AEA1-03E353A762E4}</b:Guid>
    <b:LCID>0</b:LCID>
    <b:Author>
      <b:Author>
        <b:NameList>
          <b:Person>
            <b:Last>Worley</b:Last>
            <b:First>Robert</b:First>
            <b:Middle>M.,</b:Middle>
          </b:Person>
        </b:NameList>
      </b:Author>
    </b:Author>
    <b:Title>Memoirs of a guard Researcher: Deconstructing the Games Inmates Play Behind the Prison Walls.</b:Title>
    <b:JournalName>Deviant Behavior</b:JournalName>
    <b:Year>2016</b:Year>
    <b:Pages>1215-1226</b:Pages>
    <b:RefOrder>5</b:RefOrder>
  </b:Source>
  <b:Source>
    <b:Tag>Rob13</b:Tag>
    <b:SourceType>JournalArticle</b:SourceType>
    <b:Guid>{6A18E74C-E15F-4E3B-8262-DA2A435C0D75}</b:Guid>
    <b:LCID>0</b:LCID>
    <b:Author>
      <b:Author>
        <b:NameList>
          <b:Person>
            <b:Last>Worley</b:Last>
            <b:First>Robert</b:First>
            <b:Middle>M. Worley &amp; Vidisha B.</b:Middle>
          </b:Person>
        </b:NameList>
      </b:Author>
    </b:Author>
    <b:Title>Inmate Public autoerotismuncovered: Exploring the Dynamics of Musturbatory Behavior Within Correctional Facilities</b:Title>
    <b:Year>2013</b:Year>
    <b:Pages>855-868</b:Pages>
    <b:RefOrder>6</b:RefOrder>
  </b:Source>
</b:Sources>
</file>

<file path=customXml/itemProps1.xml><?xml version="1.0" encoding="utf-8"?>
<ds:datastoreItem xmlns:ds="http://schemas.openxmlformats.org/officeDocument/2006/customXml" ds:itemID="{184F526F-7E87-4A2B-987D-6342CBF1FD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1149</Words>
  <Characters>6552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CHATIMO</dc:creator>
  <cp:lastModifiedBy>ADM</cp:lastModifiedBy>
  <cp:revision>2</cp:revision>
  <dcterms:created xsi:type="dcterms:W3CDTF">2019-03-21T13:54:00Z</dcterms:created>
  <dcterms:modified xsi:type="dcterms:W3CDTF">2019-03-21T13:54:00Z</dcterms:modified>
</cp:coreProperties>
</file>